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93" w:rsidRPr="000E6924" w:rsidRDefault="00FF5695" w:rsidP="00FE252B">
      <w:pPr>
        <w:rPr>
          <w:sz w:val="28"/>
          <w:szCs w:val="28"/>
          <w:lang w:val="en-CA"/>
        </w:rPr>
      </w:pPr>
      <w:r w:rsidRPr="000E6924">
        <w:rPr>
          <w:sz w:val="28"/>
          <w:szCs w:val="28"/>
          <w:lang w:val="en-CA"/>
        </w:rPr>
        <w:t>April 9</w:t>
      </w:r>
      <w:r w:rsidR="00FE252B" w:rsidRPr="000E6924">
        <w:rPr>
          <w:sz w:val="28"/>
          <w:szCs w:val="28"/>
          <w:lang w:val="en-CA"/>
        </w:rPr>
        <w:t>, 2015</w:t>
      </w:r>
    </w:p>
    <w:p w:rsidR="00FE252B" w:rsidRPr="000E6924" w:rsidRDefault="00FE252B" w:rsidP="00FE252B">
      <w:pPr>
        <w:pStyle w:val="Heading1"/>
      </w:pPr>
      <w:bookmarkStart w:id="0" w:name="_GoBack"/>
      <w:r w:rsidRPr="000E6924">
        <w:rPr>
          <w:lang w:val="en-CA"/>
        </w:rPr>
        <w:t>Bollinger Bands</w:t>
      </w:r>
      <w:r w:rsidRPr="000E6924">
        <w:t>®: What They Are and How to Use Them</w:t>
      </w:r>
    </w:p>
    <w:bookmarkEnd w:id="0"/>
    <w:p w:rsidR="00FE252B" w:rsidRPr="000E6924" w:rsidRDefault="00FE252B" w:rsidP="00FE252B">
      <w:pPr>
        <w:rPr>
          <w:sz w:val="28"/>
          <w:szCs w:val="28"/>
        </w:rPr>
      </w:pPr>
    </w:p>
    <w:p w:rsidR="00FE252B" w:rsidRPr="000E6924" w:rsidRDefault="00FE252B" w:rsidP="00FE252B">
      <w:pPr>
        <w:rPr>
          <w:sz w:val="28"/>
          <w:szCs w:val="28"/>
        </w:rPr>
      </w:pPr>
      <w:r w:rsidRPr="000E6924">
        <w:rPr>
          <w:sz w:val="28"/>
          <w:szCs w:val="28"/>
        </w:rPr>
        <w:t>Bollinger Bands® are a tool used for the technical analysis of securities</w:t>
      </w:r>
      <w:r w:rsidR="00017C16" w:rsidRPr="000E6924">
        <w:rPr>
          <w:sz w:val="28"/>
          <w:szCs w:val="28"/>
        </w:rPr>
        <w:t xml:space="preserve"> created by John Bollinger in the early 1980s</w:t>
      </w:r>
      <w:r w:rsidRPr="000E6924">
        <w:rPr>
          <w:sz w:val="28"/>
          <w:szCs w:val="28"/>
        </w:rPr>
        <w:t>. They are comprised of a moving average of period N (simple and exponential moving averages are popular choices) and an “envelope” created by an upper and lower band, which are each K times an N-period standard deviation away from the moving average. This indicator is popular with traders because it automatically adjusts to volatility currently being experienced in a particular market. Rather than “forcing” the width of an envelope on a market, Bollinger Band</w:t>
      </w:r>
      <w:r w:rsidR="00B15227" w:rsidRPr="000E6924">
        <w:rPr>
          <w:sz w:val="28"/>
          <w:szCs w:val="28"/>
        </w:rPr>
        <w:t>s</w:t>
      </w:r>
      <w:r w:rsidRPr="000E6924">
        <w:rPr>
          <w:sz w:val="28"/>
          <w:szCs w:val="28"/>
        </w:rPr>
        <w:t>® “listen” to the market</w:t>
      </w:r>
      <w:r w:rsidR="00127596" w:rsidRPr="000E6924">
        <w:rPr>
          <w:sz w:val="28"/>
          <w:szCs w:val="28"/>
        </w:rPr>
        <w:t>, self-adjust</w:t>
      </w:r>
      <w:r w:rsidRPr="000E6924">
        <w:rPr>
          <w:sz w:val="28"/>
          <w:szCs w:val="28"/>
        </w:rPr>
        <w:t xml:space="preserve"> and allow traders to plan their trades accordingly.</w:t>
      </w:r>
      <w:r w:rsidR="00DE58E6" w:rsidRPr="000E6924">
        <w:rPr>
          <w:sz w:val="28"/>
          <w:szCs w:val="28"/>
        </w:rPr>
        <w:t xml:space="preserve"> They may be used on intra-day, daily, weekly and even monthly charts.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8234"/>
      </w:tblGrid>
      <w:tr w:rsidR="00A1566B" w:rsidRPr="000E6924" w:rsidTr="00FF5695">
        <w:tc>
          <w:tcPr>
            <w:tcW w:w="7613" w:type="dxa"/>
          </w:tcPr>
          <w:p w:rsidR="00FF5695" w:rsidRPr="000E6924" w:rsidRDefault="00FF5695" w:rsidP="00FE252B">
            <w:pPr>
              <w:rPr>
                <w:sz w:val="28"/>
                <w:szCs w:val="28"/>
              </w:rPr>
            </w:pPr>
          </w:p>
          <w:p w:rsidR="00017C16" w:rsidRPr="000E6924" w:rsidRDefault="000350C4" w:rsidP="00FE252B">
            <w:pPr>
              <w:rPr>
                <w:sz w:val="28"/>
                <w:szCs w:val="28"/>
              </w:rPr>
            </w:pPr>
            <w:r w:rsidRPr="000E6924">
              <w:rPr>
                <w:sz w:val="28"/>
                <w:szCs w:val="28"/>
              </w:rPr>
              <w:t>A 15-minute</w:t>
            </w:r>
            <w:r w:rsidR="00017C16" w:rsidRPr="000E6924">
              <w:rPr>
                <w:sz w:val="28"/>
                <w:szCs w:val="28"/>
              </w:rPr>
              <w:t xml:space="preserve"> chart of the </w:t>
            </w:r>
            <w:r w:rsidR="005778EF" w:rsidRPr="000E6924">
              <w:rPr>
                <w:sz w:val="28"/>
                <w:szCs w:val="28"/>
              </w:rPr>
              <w:t>E-mini S&amp;P 500 June 15 contract</w:t>
            </w:r>
            <w:r w:rsidR="00806E77" w:rsidRPr="000E6924">
              <w:rPr>
                <w:sz w:val="28"/>
                <w:szCs w:val="28"/>
              </w:rPr>
              <w:t xml:space="preserve"> is presented</w:t>
            </w:r>
            <w:r w:rsidR="00017C16" w:rsidRPr="000E6924">
              <w:rPr>
                <w:sz w:val="28"/>
                <w:szCs w:val="28"/>
              </w:rPr>
              <w:t xml:space="preserve"> with</w:t>
            </w:r>
            <w:r w:rsidR="00127596" w:rsidRPr="000E6924">
              <w:rPr>
                <w:sz w:val="28"/>
                <w:szCs w:val="28"/>
              </w:rPr>
              <w:t xml:space="preserve"> a</w:t>
            </w:r>
            <w:r w:rsidR="00017C16" w:rsidRPr="000E6924">
              <w:rPr>
                <w:sz w:val="28"/>
                <w:szCs w:val="28"/>
              </w:rPr>
              <w:t xml:space="preserve"> 2-standard deviation Bollinger Bands®</w:t>
            </w:r>
            <w:r w:rsidR="00127596" w:rsidRPr="000E6924">
              <w:rPr>
                <w:sz w:val="28"/>
                <w:szCs w:val="28"/>
              </w:rPr>
              <w:t xml:space="preserve"> overlay using</w:t>
            </w:r>
            <w:r w:rsidR="005778EF" w:rsidRPr="000E6924">
              <w:rPr>
                <w:sz w:val="28"/>
                <w:szCs w:val="28"/>
              </w:rPr>
              <w:t xml:space="preserve"> a 20-period</w:t>
            </w:r>
            <w:r w:rsidR="00017C16" w:rsidRPr="000E6924">
              <w:rPr>
                <w:sz w:val="28"/>
                <w:szCs w:val="28"/>
              </w:rPr>
              <w:t xml:space="preserve"> simple moving average.</w:t>
            </w:r>
          </w:p>
          <w:p w:rsidR="00017C16" w:rsidRPr="000E6924" w:rsidRDefault="00017C16" w:rsidP="00FE252B">
            <w:pPr>
              <w:rPr>
                <w:sz w:val="28"/>
                <w:szCs w:val="28"/>
              </w:rPr>
            </w:pPr>
          </w:p>
          <w:p w:rsidR="00017C16" w:rsidRPr="000E6924" w:rsidRDefault="00017C16" w:rsidP="00FE252B">
            <w:pPr>
              <w:rPr>
                <w:sz w:val="28"/>
                <w:szCs w:val="28"/>
              </w:rPr>
            </w:pPr>
            <w:r w:rsidRPr="000E6924">
              <w:rPr>
                <w:sz w:val="28"/>
                <w:szCs w:val="28"/>
              </w:rPr>
              <w:t>While there are several valid interpretations of Bollinger Bands® (if it works – use it</w:t>
            </w:r>
            <w:r w:rsidR="00127596" w:rsidRPr="000E6924">
              <w:rPr>
                <w:sz w:val="28"/>
                <w:szCs w:val="28"/>
              </w:rPr>
              <w:t>,</w:t>
            </w:r>
            <w:r w:rsidRPr="000E6924">
              <w:rPr>
                <w:sz w:val="28"/>
                <w:szCs w:val="28"/>
              </w:rPr>
              <w:t>) Mr. Bollinger has noted several common characteristics of market</w:t>
            </w:r>
            <w:r w:rsidR="00B15227" w:rsidRPr="000E6924">
              <w:rPr>
                <w:sz w:val="28"/>
                <w:szCs w:val="28"/>
              </w:rPr>
              <w:t>s analyzed using the them</w:t>
            </w:r>
            <w:r w:rsidR="00806E77" w:rsidRPr="000E6924">
              <w:rPr>
                <w:sz w:val="28"/>
                <w:szCs w:val="28"/>
              </w:rPr>
              <w:t>:</w:t>
            </w:r>
          </w:p>
          <w:p w:rsidR="00806E77" w:rsidRPr="000E6924" w:rsidRDefault="00806E77" w:rsidP="00FE252B">
            <w:pPr>
              <w:rPr>
                <w:sz w:val="28"/>
                <w:szCs w:val="28"/>
              </w:rPr>
            </w:pPr>
          </w:p>
          <w:p w:rsidR="00806E77" w:rsidRPr="000E6924" w:rsidRDefault="00806E77" w:rsidP="00FE252B">
            <w:pPr>
              <w:rPr>
                <w:sz w:val="28"/>
                <w:szCs w:val="28"/>
              </w:rPr>
            </w:pPr>
            <w:r w:rsidRPr="000E6924">
              <w:rPr>
                <w:sz w:val="28"/>
                <w:szCs w:val="28"/>
              </w:rPr>
              <w:t>“Sharp price changes tend to occur after the bands tighten, after volatility lessens.”</w:t>
            </w:r>
          </w:p>
          <w:p w:rsidR="00017C16" w:rsidRPr="000E6924" w:rsidRDefault="00017C16" w:rsidP="00FE252B">
            <w:pPr>
              <w:rPr>
                <w:sz w:val="28"/>
                <w:szCs w:val="28"/>
              </w:rPr>
            </w:pPr>
          </w:p>
          <w:p w:rsidR="00806E77" w:rsidRPr="000E6924" w:rsidRDefault="00806E77" w:rsidP="00FE252B">
            <w:pPr>
              <w:rPr>
                <w:sz w:val="28"/>
                <w:szCs w:val="28"/>
              </w:rPr>
            </w:pPr>
            <w:r w:rsidRPr="000E6924">
              <w:rPr>
                <w:sz w:val="28"/>
                <w:szCs w:val="28"/>
              </w:rPr>
              <w:t>“When prices move outside the bands, a continuation of the current trend is implied.”</w:t>
            </w:r>
          </w:p>
          <w:p w:rsidR="00806E77" w:rsidRPr="000E6924" w:rsidRDefault="00806E77" w:rsidP="00FE252B">
            <w:pPr>
              <w:rPr>
                <w:sz w:val="28"/>
                <w:szCs w:val="28"/>
              </w:rPr>
            </w:pPr>
          </w:p>
          <w:p w:rsidR="00806E77" w:rsidRPr="000E6924" w:rsidRDefault="00806E77" w:rsidP="00FE252B">
            <w:pPr>
              <w:rPr>
                <w:sz w:val="28"/>
                <w:szCs w:val="28"/>
              </w:rPr>
            </w:pPr>
            <w:r w:rsidRPr="000E6924">
              <w:rPr>
                <w:sz w:val="28"/>
                <w:szCs w:val="28"/>
              </w:rPr>
              <w:t>“A move that originates at one band tends to go all the way to the other band. This observation is useful when projecting price targets.”</w:t>
            </w:r>
          </w:p>
          <w:p w:rsidR="00806E77" w:rsidRPr="000E6924" w:rsidRDefault="00806E77" w:rsidP="00FE252B">
            <w:pPr>
              <w:rPr>
                <w:sz w:val="28"/>
                <w:szCs w:val="28"/>
              </w:rPr>
            </w:pPr>
          </w:p>
          <w:p w:rsidR="00FC33DD" w:rsidRPr="000E6924" w:rsidRDefault="002E159D" w:rsidP="00FC33DD">
            <w:pPr>
              <w:rPr>
                <w:sz w:val="28"/>
                <w:szCs w:val="28"/>
              </w:rPr>
            </w:pPr>
            <w:r w:rsidRPr="000E6924">
              <w:rPr>
                <w:sz w:val="28"/>
                <w:szCs w:val="28"/>
              </w:rPr>
              <w:t>While these are not hard and fas</w:t>
            </w:r>
            <w:r w:rsidR="00806E77" w:rsidRPr="000E6924">
              <w:rPr>
                <w:sz w:val="28"/>
                <w:szCs w:val="28"/>
              </w:rPr>
              <w:t>t rules, they do give traders insight into where prices may head in the near future. We will examine each of</w:t>
            </w:r>
            <w:r w:rsidR="005778EF" w:rsidRPr="000E6924">
              <w:rPr>
                <w:sz w:val="28"/>
                <w:szCs w:val="28"/>
              </w:rPr>
              <w:t xml:space="preserve"> these scenarios using our 15-minute ES</w:t>
            </w:r>
            <w:r w:rsidR="00FC33DD" w:rsidRPr="000E6924">
              <w:rPr>
                <w:sz w:val="28"/>
                <w:szCs w:val="28"/>
              </w:rPr>
              <w:t xml:space="preserve"> chart.</w:t>
            </w:r>
          </w:p>
        </w:tc>
        <w:tc>
          <w:tcPr>
            <w:tcW w:w="11372" w:type="dxa"/>
          </w:tcPr>
          <w:p w:rsidR="00415F71" w:rsidRPr="000E6924" w:rsidRDefault="00415F71" w:rsidP="00FE252B">
            <w:pPr>
              <w:rPr>
                <w:sz w:val="28"/>
                <w:szCs w:val="28"/>
              </w:rPr>
            </w:pPr>
            <w:r w:rsidRPr="000E6924">
              <w:rPr>
                <w:noProof/>
                <w:sz w:val="28"/>
                <w:szCs w:val="28"/>
              </w:rPr>
              <w:drawing>
                <wp:inline distT="0" distB="0" distL="0" distR="0" wp14:anchorId="7CC48785" wp14:editId="1A8FE823">
                  <wp:extent cx="7078063" cy="445832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BollingerBands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8063" cy="445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695" w:rsidRPr="000E6924" w:rsidRDefault="00FF5695" w:rsidP="00FE252B">
            <w:pPr>
              <w:rPr>
                <w:sz w:val="28"/>
                <w:szCs w:val="28"/>
              </w:rPr>
            </w:pPr>
          </w:p>
          <w:p w:rsidR="00FF5695" w:rsidRPr="000E6924" w:rsidRDefault="00FF5695" w:rsidP="00FF5695">
            <w:pPr>
              <w:rPr>
                <w:noProof/>
                <w:sz w:val="28"/>
                <w:szCs w:val="28"/>
                <w:lang w:val="en-CA" w:eastAsia="en-CA"/>
              </w:rPr>
            </w:pPr>
            <w:r w:rsidRPr="000E6924">
              <w:rPr>
                <w:sz w:val="28"/>
                <w:szCs w:val="28"/>
              </w:rPr>
              <w:t xml:space="preserve">Chart created using </w:t>
            </w:r>
            <w:hyperlink r:id="rId6" w:tgtFrame="_blank" w:history="1">
              <w:r w:rsidRPr="000E6924">
                <w:rPr>
                  <w:rStyle w:val="Hyperlink"/>
                  <w:sz w:val="28"/>
                  <w:szCs w:val="28"/>
                </w:rPr>
                <w:t>MultiCharts</w:t>
              </w:r>
            </w:hyperlink>
            <w:r w:rsidRPr="000E6924">
              <w:rPr>
                <w:sz w:val="28"/>
                <w:szCs w:val="28"/>
              </w:rPr>
              <w:t>. ©MultiCharts LLC, 1999-2015. All rights reserved.</w:t>
            </w:r>
          </w:p>
          <w:p w:rsidR="00FF5695" w:rsidRPr="000E6924" w:rsidRDefault="00FF5695" w:rsidP="00FE252B">
            <w:pPr>
              <w:rPr>
                <w:sz w:val="28"/>
                <w:szCs w:val="28"/>
              </w:rPr>
            </w:pPr>
          </w:p>
        </w:tc>
      </w:tr>
      <w:tr w:rsidR="00A1566B" w:rsidRPr="000E6924" w:rsidTr="00FF5695">
        <w:tc>
          <w:tcPr>
            <w:tcW w:w="7613" w:type="dxa"/>
          </w:tcPr>
          <w:p w:rsidR="00A1566B" w:rsidRPr="000E6924" w:rsidRDefault="00A1566B" w:rsidP="00A1566B">
            <w:pPr>
              <w:pStyle w:val="Heading2"/>
              <w:outlineLvl w:val="1"/>
              <w:rPr>
                <w:sz w:val="28"/>
                <w:szCs w:val="28"/>
              </w:rPr>
            </w:pPr>
            <w:r w:rsidRPr="000E6924">
              <w:rPr>
                <w:sz w:val="28"/>
                <w:szCs w:val="28"/>
              </w:rPr>
              <w:t>Sharp Price Changes after Volatility Contraction</w:t>
            </w:r>
          </w:p>
          <w:p w:rsidR="00A1566B" w:rsidRPr="000E6924" w:rsidRDefault="007C6091" w:rsidP="00FE252B">
            <w:pPr>
              <w:rPr>
                <w:sz w:val="28"/>
                <w:szCs w:val="28"/>
              </w:rPr>
            </w:pPr>
            <w:r w:rsidRPr="000E6924">
              <w:rPr>
                <w:sz w:val="28"/>
                <w:szCs w:val="28"/>
              </w:rPr>
              <w:t>Over the late evening of April 8, prices of the ES</w:t>
            </w:r>
            <w:r w:rsidR="00A1566B" w:rsidRPr="000E6924">
              <w:rPr>
                <w:sz w:val="28"/>
                <w:szCs w:val="28"/>
              </w:rPr>
              <w:t xml:space="preserve"> entered a period of low volatility</w:t>
            </w:r>
            <w:r w:rsidR="000350C4" w:rsidRPr="000E6924">
              <w:rPr>
                <w:sz w:val="28"/>
                <w:szCs w:val="28"/>
              </w:rPr>
              <w:t xml:space="preserve"> (as they often do in the evening</w:t>
            </w:r>
            <w:r w:rsidR="00A1566B" w:rsidRPr="000E6924">
              <w:rPr>
                <w:sz w:val="28"/>
                <w:szCs w:val="28"/>
              </w:rPr>
              <w:t>,</w:t>
            </w:r>
            <w:r w:rsidR="000350C4" w:rsidRPr="000E6924">
              <w:rPr>
                <w:sz w:val="28"/>
                <w:szCs w:val="28"/>
              </w:rPr>
              <w:t>)</w:t>
            </w:r>
            <w:r w:rsidR="00A1566B" w:rsidRPr="000E6924">
              <w:rPr>
                <w:sz w:val="28"/>
                <w:szCs w:val="28"/>
              </w:rPr>
              <w:t xml:space="preserve"> as evidenced by the width of the envelope created by the upper and lower bands narrowing substantially. Bollinger Bands® observers could have used this fact to anticipate a </w:t>
            </w:r>
            <w:r w:rsidR="000350C4" w:rsidRPr="000E6924">
              <w:rPr>
                <w:sz w:val="28"/>
                <w:szCs w:val="28"/>
              </w:rPr>
              <w:t xml:space="preserve">coming </w:t>
            </w:r>
            <w:r w:rsidR="00A1566B" w:rsidRPr="000E6924">
              <w:rPr>
                <w:sz w:val="28"/>
                <w:szCs w:val="28"/>
              </w:rPr>
              <w:t>sharp move in price.</w:t>
            </w:r>
          </w:p>
          <w:p w:rsidR="00A1566B" w:rsidRPr="000E6924" w:rsidRDefault="00A1566B" w:rsidP="00FE252B">
            <w:pPr>
              <w:rPr>
                <w:sz w:val="28"/>
                <w:szCs w:val="28"/>
              </w:rPr>
            </w:pPr>
          </w:p>
          <w:p w:rsidR="00A1566B" w:rsidRPr="000E6924" w:rsidRDefault="00A1566B" w:rsidP="00FE252B">
            <w:pPr>
              <w:rPr>
                <w:sz w:val="28"/>
                <w:szCs w:val="28"/>
              </w:rPr>
            </w:pPr>
            <w:r w:rsidRPr="000E6924">
              <w:rPr>
                <w:sz w:val="28"/>
                <w:szCs w:val="28"/>
              </w:rPr>
              <w:t>On its own</w:t>
            </w:r>
            <w:r w:rsidR="00127596" w:rsidRPr="000E6924">
              <w:rPr>
                <w:sz w:val="28"/>
                <w:szCs w:val="28"/>
              </w:rPr>
              <w:t>,</w:t>
            </w:r>
            <w:r w:rsidRPr="000E6924">
              <w:rPr>
                <w:sz w:val="28"/>
                <w:szCs w:val="28"/>
              </w:rPr>
              <w:t xml:space="preserve"> th</w:t>
            </w:r>
            <w:r w:rsidR="00127596" w:rsidRPr="000E6924">
              <w:rPr>
                <w:sz w:val="28"/>
                <w:szCs w:val="28"/>
              </w:rPr>
              <w:t>e</w:t>
            </w:r>
            <w:r w:rsidR="000350C4" w:rsidRPr="000E6924">
              <w:rPr>
                <w:sz w:val="28"/>
                <w:szCs w:val="28"/>
              </w:rPr>
              <w:t xml:space="preserve"> evening</w:t>
            </w:r>
            <w:r w:rsidR="00127596" w:rsidRPr="000E6924">
              <w:rPr>
                <w:sz w:val="28"/>
                <w:szCs w:val="28"/>
              </w:rPr>
              <w:t xml:space="preserve"> contraction in volatility did</w:t>
            </w:r>
            <w:r w:rsidRPr="000E6924">
              <w:rPr>
                <w:sz w:val="28"/>
                <w:szCs w:val="28"/>
              </w:rPr>
              <w:t xml:space="preserve"> not give traders information as to which </w:t>
            </w:r>
            <w:r w:rsidR="00127596" w:rsidRPr="000E6924">
              <w:rPr>
                <w:sz w:val="28"/>
                <w:szCs w:val="28"/>
              </w:rPr>
              <w:t>direction the move in price would</w:t>
            </w:r>
            <w:r w:rsidRPr="000E6924">
              <w:rPr>
                <w:sz w:val="28"/>
                <w:szCs w:val="28"/>
              </w:rPr>
              <w:t xml:space="preserve"> take. Only that a</w:t>
            </w:r>
            <w:r w:rsidR="00127596" w:rsidRPr="000E6924">
              <w:rPr>
                <w:sz w:val="28"/>
                <w:szCs w:val="28"/>
              </w:rPr>
              <w:t>n expansion in</w:t>
            </w:r>
            <w:r w:rsidRPr="000E6924">
              <w:rPr>
                <w:sz w:val="28"/>
                <w:szCs w:val="28"/>
              </w:rPr>
              <w:t xml:space="preserve"> volatility or a</w:t>
            </w:r>
            <w:r w:rsidR="000350C4" w:rsidRPr="000E6924">
              <w:rPr>
                <w:sz w:val="28"/>
                <w:szCs w:val="28"/>
              </w:rPr>
              <w:t xml:space="preserve"> sharp price change was likely</w:t>
            </w:r>
            <w:r w:rsidRPr="000E6924">
              <w:rPr>
                <w:sz w:val="28"/>
                <w:szCs w:val="28"/>
              </w:rPr>
              <w:t>.</w:t>
            </w:r>
          </w:p>
          <w:p w:rsidR="00A1566B" w:rsidRPr="000E6924" w:rsidRDefault="00A1566B" w:rsidP="00FE252B">
            <w:pPr>
              <w:rPr>
                <w:sz w:val="28"/>
                <w:szCs w:val="28"/>
              </w:rPr>
            </w:pPr>
          </w:p>
          <w:p w:rsidR="00A1566B" w:rsidRPr="000E6924" w:rsidRDefault="00A1566B" w:rsidP="00FE252B">
            <w:pPr>
              <w:rPr>
                <w:sz w:val="28"/>
                <w:szCs w:val="28"/>
              </w:rPr>
            </w:pPr>
            <w:r w:rsidRPr="000E6924">
              <w:rPr>
                <w:sz w:val="28"/>
                <w:szCs w:val="28"/>
              </w:rPr>
              <w:t>Luckily, Bollinger Bands can give traders information as to the likely direction of price changes as well.</w:t>
            </w:r>
          </w:p>
        </w:tc>
        <w:tc>
          <w:tcPr>
            <w:tcW w:w="11372" w:type="dxa"/>
          </w:tcPr>
          <w:p w:rsidR="00BE7B56" w:rsidRPr="000E6924" w:rsidRDefault="007C6091" w:rsidP="00FE252B">
            <w:pPr>
              <w:rPr>
                <w:noProof/>
                <w:sz w:val="28"/>
                <w:szCs w:val="28"/>
                <w:lang w:val="en-CA" w:eastAsia="en-CA"/>
              </w:rPr>
            </w:pPr>
            <w:r w:rsidRPr="000E6924">
              <w:rPr>
                <w:noProof/>
                <w:sz w:val="28"/>
                <w:szCs w:val="28"/>
              </w:rPr>
              <w:drawing>
                <wp:inline distT="0" distB="0" distL="0" distR="0" wp14:anchorId="1DC95312" wp14:editId="4F849089">
                  <wp:extent cx="7078063" cy="445832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BollingerBandsVolatilityContraction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8063" cy="445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695" w:rsidRPr="000E6924" w:rsidRDefault="00FF5695" w:rsidP="00FE252B">
            <w:pPr>
              <w:rPr>
                <w:noProof/>
                <w:sz w:val="28"/>
                <w:szCs w:val="28"/>
                <w:lang w:val="en-CA" w:eastAsia="en-CA"/>
              </w:rPr>
            </w:pPr>
          </w:p>
          <w:p w:rsidR="00FF5695" w:rsidRPr="000E6924" w:rsidRDefault="00FF5695" w:rsidP="00FE252B">
            <w:pPr>
              <w:rPr>
                <w:noProof/>
                <w:sz w:val="28"/>
                <w:szCs w:val="28"/>
                <w:lang w:val="en-CA" w:eastAsia="en-CA"/>
              </w:rPr>
            </w:pPr>
            <w:r w:rsidRPr="000E6924">
              <w:rPr>
                <w:sz w:val="28"/>
                <w:szCs w:val="28"/>
              </w:rPr>
              <w:t xml:space="preserve">Chart created using </w:t>
            </w:r>
            <w:hyperlink r:id="rId8" w:tgtFrame="_blank" w:history="1">
              <w:r w:rsidRPr="000E6924">
                <w:rPr>
                  <w:rStyle w:val="Hyperlink"/>
                  <w:sz w:val="28"/>
                  <w:szCs w:val="28"/>
                </w:rPr>
                <w:t>MultiCharts</w:t>
              </w:r>
            </w:hyperlink>
            <w:r w:rsidRPr="000E6924">
              <w:rPr>
                <w:sz w:val="28"/>
                <w:szCs w:val="28"/>
              </w:rPr>
              <w:t>. ©MultiCharts LLC, 1999-2015. All rights reserved.</w:t>
            </w:r>
          </w:p>
          <w:p w:rsidR="007C6091" w:rsidRPr="000E6924" w:rsidRDefault="007C6091" w:rsidP="00FE252B">
            <w:pPr>
              <w:rPr>
                <w:noProof/>
                <w:sz w:val="28"/>
                <w:szCs w:val="28"/>
                <w:lang w:val="en-CA" w:eastAsia="en-CA"/>
              </w:rPr>
            </w:pPr>
          </w:p>
        </w:tc>
      </w:tr>
      <w:tr w:rsidR="00A1566B" w:rsidRPr="000E6924" w:rsidTr="00FF5695">
        <w:tc>
          <w:tcPr>
            <w:tcW w:w="7613" w:type="dxa"/>
          </w:tcPr>
          <w:p w:rsidR="00A1566B" w:rsidRPr="000E6924" w:rsidRDefault="00A1566B" w:rsidP="00A1566B">
            <w:pPr>
              <w:pStyle w:val="Heading2"/>
              <w:outlineLvl w:val="1"/>
              <w:rPr>
                <w:sz w:val="28"/>
                <w:szCs w:val="28"/>
              </w:rPr>
            </w:pPr>
            <w:r w:rsidRPr="000E6924">
              <w:rPr>
                <w:sz w:val="28"/>
                <w:szCs w:val="28"/>
              </w:rPr>
              <w:t>When Price Moves outside Bands, Look for Continuation</w:t>
            </w:r>
          </w:p>
          <w:p w:rsidR="00A1566B" w:rsidRPr="000E6924" w:rsidRDefault="002E159D" w:rsidP="00A1566B">
            <w:pPr>
              <w:rPr>
                <w:sz w:val="28"/>
                <w:szCs w:val="28"/>
              </w:rPr>
            </w:pPr>
            <w:r w:rsidRPr="000E6924">
              <w:rPr>
                <w:sz w:val="28"/>
                <w:szCs w:val="28"/>
              </w:rPr>
              <w:t xml:space="preserve">After the contraction in </w:t>
            </w:r>
            <w:r w:rsidR="007C6091" w:rsidRPr="000E6924">
              <w:rPr>
                <w:sz w:val="28"/>
                <w:szCs w:val="28"/>
              </w:rPr>
              <w:t>volatility observed in the late evening</w:t>
            </w:r>
            <w:r w:rsidRPr="000E6924">
              <w:rPr>
                <w:sz w:val="28"/>
                <w:szCs w:val="28"/>
              </w:rPr>
              <w:t>, traders could have been on the lookout for a sharp prices move up or down.</w:t>
            </w:r>
          </w:p>
          <w:p w:rsidR="002E159D" w:rsidRPr="000E6924" w:rsidRDefault="002E159D" w:rsidP="00A1566B">
            <w:pPr>
              <w:rPr>
                <w:sz w:val="28"/>
                <w:szCs w:val="28"/>
              </w:rPr>
            </w:pPr>
          </w:p>
          <w:p w:rsidR="002E159D" w:rsidRPr="000E6924" w:rsidRDefault="002E159D" w:rsidP="00A1566B">
            <w:pPr>
              <w:rPr>
                <w:sz w:val="28"/>
                <w:szCs w:val="28"/>
              </w:rPr>
            </w:pPr>
            <w:r w:rsidRPr="000E6924">
              <w:rPr>
                <w:sz w:val="28"/>
                <w:szCs w:val="28"/>
              </w:rPr>
              <w:t>Information</w:t>
            </w:r>
            <w:r w:rsidR="00127596" w:rsidRPr="000E6924">
              <w:rPr>
                <w:sz w:val="28"/>
                <w:szCs w:val="28"/>
              </w:rPr>
              <w:t xml:space="preserve"> as to the direction this price</w:t>
            </w:r>
            <w:r w:rsidRPr="000E6924">
              <w:rPr>
                <w:sz w:val="28"/>
                <w:szCs w:val="28"/>
              </w:rPr>
              <w:t xml:space="preserve"> move was going to make could be gleaned when prices moved</w:t>
            </w:r>
            <w:r w:rsidR="007C6091" w:rsidRPr="000E6924">
              <w:rPr>
                <w:sz w:val="28"/>
                <w:szCs w:val="28"/>
              </w:rPr>
              <w:t xml:space="preserve"> and closed</w:t>
            </w:r>
            <w:r w:rsidRPr="000E6924">
              <w:rPr>
                <w:sz w:val="28"/>
                <w:szCs w:val="28"/>
              </w:rPr>
              <w:t xml:space="preserve"> below t</w:t>
            </w:r>
            <w:r w:rsidR="000350C4" w:rsidRPr="000E6924">
              <w:rPr>
                <w:sz w:val="28"/>
                <w:szCs w:val="28"/>
              </w:rPr>
              <w:t>he lower band,</w:t>
            </w:r>
            <w:r w:rsidR="007C6091" w:rsidRPr="000E6924">
              <w:rPr>
                <w:sz w:val="28"/>
                <w:szCs w:val="28"/>
              </w:rPr>
              <w:t xml:space="preserve"> just before midnight. This was accompanied by</w:t>
            </w:r>
            <w:r w:rsidRPr="000E6924">
              <w:rPr>
                <w:sz w:val="28"/>
                <w:szCs w:val="28"/>
              </w:rPr>
              <w:t xml:space="preserve"> an increase in volatility, causing the width of the Bollinger Bands® envelope</w:t>
            </w:r>
            <w:r w:rsidR="00127596" w:rsidRPr="000E6924">
              <w:rPr>
                <w:sz w:val="28"/>
                <w:szCs w:val="28"/>
              </w:rPr>
              <w:t xml:space="preserve"> to increase as well</w:t>
            </w:r>
            <w:r w:rsidRPr="000E6924">
              <w:rPr>
                <w:sz w:val="28"/>
                <w:szCs w:val="28"/>
              </w:rPr>
              <w:t>.</w:t>
            </w:r>
          </w:p>
          <w:p w:rsidR="002E159D" w:rsidRPr="000E6924" w:rsidRDefault="002E159D" w:rsidP="00A1566B">
            <w:pPr>
              <w:rPr>
                <w:sz w:val="28"/>
                <w:szCs w:val="28"/>
              </w:rPr>
            </w:pPr>
          </w:p>
          <w:p w:rsidR="002E159D" w:rsidRPr="000E6924" w:rsidRDefault="002E159D" w:rsidP="00A1566B">
            <w:pPr>
              <w:rPr>
                <w:sz w:val="28"/>
                <w:szCs w:val="28"/>
              </w:rPr>
            </w:pPr>
            <w:r w:rsidRPr="000E6924">
              <w:rPr>
                <w:sz w:val="28"/>
                <w:szCs w:val="28"/>
              </w:rPr>
              <w:t>Prices continued to move lower and volatility continu</w:t>
            </w:r>
            <w:r w:rsidR="007C6091" w:rsidRPr="000E6924">
              <w:rPr>
                <w:sz w:val="28"/>
                <w:szCs w:val="28"/>
              </w:rPr>
              <w:t xml:space="preserve">ed to </w:t>
            </w:r>
            <w:r w:rsidR="000350C4" w:rsidRPr="000E6924">
              <w:rPr>
                <w:sz w:val="28"/>
                <w:szCs w:val="28"/>
              </w:rPr>
              <w:t>increase until about 4:3</w:t>
            </w:r>
            <w:r w:rsidR="007C6091" w:rsidRPr="000E6924">
              <w:rPr>
                <w:sz w:val="28"/>
                <w:szCs w:val="28"/>
              </w:rPr>
              <w:t>0 am</w:t>
            </w:r>
            <w:r w:rsidRPr="000E6924">
              <w:rPr>
                <w:sz w:val="28"/>
                <w:szCs w:val="28"/>
              </w:rPr>
              <w:t xml:space="preserve"> when a price reversal was finally observed. This brings us to a third common feature of markets analyzed using Bollinger Bands®</w:t>
            </w:r>
            <w:r w:rsidR="00127596" w:rsidRPr="000E6924">
              <w:rPr>
                <w:sz w:val="28"/>
                <w:szCs w:val="28"/>
              </w:rPr>
              <w:t>.</w:t>
            </w:r>
          </w:p>
        </w:tc>
        <w:tc>
          <w:tcPr>
            <w:tcW w:w="11372" w:type="dxa"/>
          </w:tcPr>
          <w:p w:rsidR="00A1566B" w:rsidRPr="000E6924" w:rsidRDefault="007C6091" w:rsidP="00FE252B">
            <w:pPr>
              <w:rPr>
                <w:noProof/>
                <w:sz w:val="28"/>
                <w:szCs w:val="28"/>
                <w:lang w:val="en-CA" w:eastAsia="en-CA"/>
              </w:rPr>
            </w:pPr>
            <w:r w:rsidRPr="000E6924">
              <w:rPr>
                <w:noProof/>
                <w:sz w:val="28"/>
                <w:szCs w:val="28"/>
              </w:rPr>
              <w:drawing>
                <wp:inline distT="0" distB="0" distL="0" distR="0" wp14:anchorId="2BA9BE0C" wp14:editId="29ECA9E1">
                  <wp:extent cx="7079937" cy="4459503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BollingerBandsTrendContinuat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9937" cy="445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B56" w:rsidRPr="000E6924" w:rsidRDefault="00BE7B56" w:rsidP="00FE252B">
            <w:pPr>
              <w:rPr>
                <w:noProof/>
                <w:sz w:val="28"/>
                <w:szCs w:val="28"/>
                <w:lang w:val="en-CA" w:eastAsia="en-CA"/>
              </w:rPr>
            </w:pPr>
          </w:p>
          <w:p w:rsidR="00FF5695" w:rsidRPr="000E6924" w:rsidRDefault="00FF5695" w:rsidP="00FF5695">
            <w:pPr>
              <w:rPr>
                <w:noProof/>
                <w:sz w:val="28"/>
                <w:szCs w:val="28"/>
                <w:lang w:val="en-CA" w:eastAsia="en-CA"/>
              </w:rPr>
            </w:pPr>
            <w:r w:rsidRPr="000E6924">
              <w:rPr>
                <w:sz w:val="28"/>
                <w:szCs w:val="28"/>
              </w:rPr>
              <w:t xml:space="preserve">Chart created using </w:t>
            </w:r>
            <w:hyperlink r:id="rId10" w:tgtFrame="_blank" w:history="1">
              <w:r w:rsidRPr="000E6924">
                <w:rPr>
                  <w:rStyle w:val="Hyperlink"/>
                  <w:sz w:val="28"/>
                  <w:szCs w:val="28"/>
                </w:rPr>
                <w:t>MultiCharts</w:t>
              </w:r>
            </w:hyperlink>
            <w:r w:rsidRPr="000E6924">
              <w:rPr>
                <w:sz w:val="28"/>
                <w:szCs w:val="28"/>
              </w:rPr>
              <w:t>. ©MultiCharts LLC, 1999-2015. All rights reserved.</w:t>
            </w:r>
          </w:p>
          <w:p w:rsidR="00FF5695" w:rsidRPr="000E6924" w:rsidRDefault="00FF5695" w:rsidP="00FE252B">
            <w:pPr>
              <w:rPr>
                <w:noProof/>
                <w:sz w:val="28"/>
                <w:szCs w:val="28"/>
                <w:lang w:val="en-CA" w:eastAsia="en-CA"/>
              </w:rPr>
            </w:pPr>
          </w:p>
        </w:tc>
      </w:tr>
      <w:tr w:rsidR="002E159D" w:rsidRPr="000E6924" w:rsidTr="00FF5695">
        <w:tc>
          <w:tcPr>
            <w:tcW w:w="7613" w:type="dxa"/>
          </w:tcPr>
          <w:p w:rsidR="002E159D" w:rsidRPr="000E6924" w:rsidRDefault="002E159D" w:rsidP="002E159D">
            <w:pPr>
              <w:pStyle w:val="Heading2"/>
              <w:outlineLvl w:val="1"/>
              <w:rPr>
                <w:sz w:val="28"/>
                <w:szCs w:val="28"/>
              </w:rPr>
            </w:pPr>
            <w:r w:rsidRPr="000E6924">
              <w:rPr>
                <w:sz w:val="28"/>
                <w:szCs w:val="28"/>
              </w:rPr>
              <w:t>Moves Starting at One Band Tend to Continue to the Other</w:t>
            </w:r>
          </w:p>
          <w:p w:rsidR="00E03192" w:rsidRPr="000E6924" w:rsidRDefault="00E03192" w:rsidP="00E03192">
            <w:pPr>
              <w:rPr>
                <w:sz w:val="28"/>
                <w:szCs w:val="28"/>
              </w:rPr>
            </w:pPr>
            <w:r w:rsidRPr="000E6924">
              <w:rPr>
                <w:sz w:val="28"/>
                <w:szCs w:val="28"/>
              </w:rPr>
              <w:t>The use of Bollinger Bands® alone would not have given enough information to predict the end of the downwar</w:t>
            </w:r>
            <w:r w:rsidR="000B7441" w:rsidRPr="000E6924">
              <w:rPr>
                <w:sz w:val="28"/>
                <w:szCs w:val="28"/>
              </w:rPr>
              <w:t>d trends that began late in the evening. However, other observable data</w:t>
            </w:r>
            <w:r w:rsidRPr="000E6924">
              <w:rPr>
                <w:sz w:val="28"/>
                <w:szCs w:val="28"/>
              </w:rPr>
              <w:t xml:space="preserve"> such as th</w:t>
            </w:r>
            <w:r w:rsidR="000B7441" w:rsidRPr="000E6924">
              <w:rPr>
                <w:sz w:val="28"/>
                <w:szCs w:val="28"/>
              </w:rPr>
              <w:t>e Relative Strength Index (RSI)</w:t>
            </w:r>
            <w:r w:rsidRPr="000E6924">
              <w:rPr>
                <w:sz w:val="28"/>
                <w:szCs w:val="28"/>
              </w:rPr>
              <w:t xml:space="preserve"> and the increase in volatil</w:t>
            </w:r>
            <w:r w:rsidR="00127596" w:rsidRPr="000E6924">
              <w:rPr>
                <w:sz w:val="28"/>
                <w:szCs w:val="28"/>
              </w:rPr>
              <w:t>ity could have given traders an</w:t>
            </w:r>
            <w:r w:rsidRPr="000E6924">
              <w:rPr>
                <w:sz w:val="28"/>
                <w:szCs w:val="28"/>
              </w:rPr>
              <w:t xml:space="preserve"> idea that a key reversal was in place.</w:t>
            </w:r>
          </w:p>
          <w:p w:rsidR="00E03192" w:rsidRPr="000E6924" w:rsidRDefault="00E03192" w:rsidP="00E03192">
            <w:pPr>
              <w:rPr>
                <w:sz w:val="28"/>
                <w:szCs w:val="28"/>
              </w:rPr>
            </w:pPr>
          </w:p>
          <w:p w:rsidR="00E03192" w:rsidRPr="000E6924" w:rsidRDefault="00E03192" w:rsidP="000B7441">
            <w:pPr>
              <w:rPr>
                <w:b/>
                <w:sz w:val="28"/>
                <w:szCs w:val="28"/>
              </w:rPr>
            </w:pPr>
            <w:r w:rsidRPr="000E6924">
              <w:rPr>
                <w:sz w:val="28"/>
                <w:szCs w:val="28"/>
              </w:rPr>
              <w:t>Trade</w:t>
            </w:r>
            <w:r w:rsidR="00BE7B56" w:rsidRPr="000E6924">
              <w:rPr>
                <w:sz w:val="28"/>
                <w:szCs w:val="28"/>
              </w:rPr>
              <w:t>r</w:t>
            </w:r>
            <w:r w:rsidRPr="000E6924">
              <w:rPr>
                <w:sz w:val="28"/>
                <w:szCs w:val="28"/>
              </w:rPr>
              <w:t xml:space="preserve">s who successfully bought this reversal could have used the upper band to set a price target. Prices moved quickly to the </w:t>
            </w:r>
            <w:r w:rsidR="000B7441" w:rsidRPr="000E6924">
              <w:rPr>
                <w:sz w:val="28"/>
                <w:szCs w:val="28"/>
              </w:rPr>
              <w:t>upper band just before 7:00 am</w:t>
            </w:r>
            <w:r w:rsidRPr="000E6924">
              <w:rPr>
                <w:sz w:val="28"/>
                <w:szCs w:val="28"/>
              </w:rPr>
              <w:t xml:space="preserve">, </w:t>
            </w:r>
            <w:r w:rsidR="000B7441" w:rsidRPr="000E6924">
              <w:rPr>
                <w:sz w:val="28"/>
                <w:szCs w:val="28"/>
              </w:rPr>
              <w:t>and then headed lower. This move to the upper band coincided with overbought RSI readings.</w:t>
            </w:r>
          </w:p>
        </w:tc>
        <w:tc>
          <w:tcPr>
            <w:tcW w:w="11372" w:type="dxa"/>
          </w:tcPr>
          <w:p w:rsidR="002E159D" w:rsidRPr="000E6924" w:rsidRDefault="000B7441" w:rsidP="00FE252B">
            <w:pPr>
              <w:rPr>
                <w:noProof/>
                <w:sz w:val="28"/>
                <w:szCs w:val="28"/>
                <w:lang w:val="en-CA" w:eastAsia="en-CA"/>
              </w:rPr>
            </w:pPr>
            <w:r w:rsidRPr="000E6924">
              <w:rPr>
                <w:noProof/>
                <w:sz w:val="28"/>
                <w:szCs w:val="28"/>
              </w:rPr>
              <w:drawing>
                <wp:inline distT="0" distB="0" distL="0" distR="0" wp14:anchorId="773DD635" wp14:editId="1A4F954F">
                  <wp:extent cx="7079937" cy="4459503"/>
                  <wp:effectExtent l="0" t="0" r="698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BollingerBandsMoveBandtoBan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9937" cy="445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695" w:rsidRPr="000E6924" w:rsidRDefault="00FF5695" w:rsidP="00FE252B">
            <w:pPr>
              <w:rPr>
                <w:noProof/>
                <w:sz w:val="28"/>
                <w:szCs w:val="28"/>
                <w:lang w:val="en-CA" w:eastAsia="en-CA"/>
              </w:rPr>
            </w:pPr>
          </w:p>
          <w:p w:rsidR="00FF5695" w:rsidRPr="000E6924" w:rsidRDefault="00FF5695" w:rsidP="00FE252B">
            <w:pPr>
              <w:rPr>
                <w:noProof/>
                <w:sz w:val="28"/>
                <w:szCs w:val="28"/>
                <w:lang w:val="en-CA" w:eastAsia="en-CA"/>
              </w:rPr>
            </w:pPr>
            <w:r w:rsidRPr="000E6924">
              <w:rPr>
                <w:sz w:val="28"/>
                <w:szCs w:val="28"/>
              </w:rPr>
              <w:t xml:space="preserve">Chart created using </w:t>
            </w:r>
            <w:hyperlink r:id="rId12" w:tgtFrame="_blank" w:history="1">
              <w:r w:rsidRPr="000E6924">
                <w:rPr>
                  <w:rStyle w:val="Hyperlink"/>
                  <w:sz w:val="28"/>
                  <w:szCs w:val="28"/>
                </w:rPr>
                <w:t>MultiCharts</w:t>
              </w:r>
            </w:hyperlink>
            <w:r w:rsidRPr="000E6924">
              <w:rPr>
                <w:sz w:val="28"/>
                <w:szCs w:val="28"/>
              </w:rPr>
              <w:t>. ©MultiCharts LLC, 1999-2015. All rights reserved.</w:t>
            </w:r>
          </w:p>
          <w:p w:rsidR="00BE7B56" w:rsidRPr="000E6924" w:rsidRDefault="00BE7B56" w:rsidP="00FE252B">
            <w:pPr>
              <w:rPr>
                <w:noProof/>
                <w:sz w:val="28"/>
                <w:szCs w:val="28"/>
                <w:lang w:val="en-CA" w:eastAsia="en-CA"/>
              </w:rPr>
            </w:pPr>
          </w:p>
        </w:tc>
      </w:tr>
    </w:tbl>
    <w:p w:rsidR="00FE252B" w:rsidRPr="000E6924" w:rsidRDefault="00E03192" w:rsidP="00FE252B">
      <w:pPr>
        <w:rPr>
          <w:sz w:val="28"/>
          <w:szCs w:val="28"/>
        </w:rPr>
      </w:pPr>
      <w:r w:rsidRPr="000E6924">
        <w:rPr>
          <w:sz w:val="28"/>
          <w:szCs w:val="28"/>
        </w:rPr>
        <w:t>The possible uses of Bollinger Bands® are almost limitless and not confined merely to securities markets: t</w:t>
      </w:r>
      <w:r w:rsidR="00BE7B56" w:rsidRPr="000E6924">
        <w:rPr>
          <w:sz w:val="28"/>
          <w:szCs w:val="28"/>
        </w:rPr>
        <w:t>hey can be used to analyze</w:t>
      </w:r>
      <w:r w:rsidRPr="000E6924">
        <w:rPr>
          <w:sz w:val="28"/>
          <w:szCs w:val="28"/>
        </w:rPr>
        <w:t xml:space="preserve"> almost any series of data. However, using Mr. Bollinger’s original interpretation, especially when combined with</w:t>
      </w:r>
      <w:r w:rsidR="00127596" w:rsidRPr="000E6924">
        <w:rPr>
          <w:sz w:val="28"/>
          <w:szCs w:val="28"/>
        </w:rPr>
        <w:t xml:space="preserve"> other</w:t>
      </w:r>
      <w:r w:rsidRPr="000E6924">
        <w:rPr>
          <w:sz w:val="28"/>
          <w:szCs w:val="28"/>
        </w:rPr>
        <w:t xml:space="preserve"> indicators, such as RSI an</w:t>
      </w:r>
      <w:r w:rsidR="00127596" w:rsidRPr="000E6924">
        <w:rPr>
          <w:sz w:val="28"/>
          <w:szCs w:val="28"/>
        </w:rPr>
        <w:t>d price-volume analysis, as well as fundamental analysis,</w:t>
      </w:r>
      <w:r w:rsidRPr="000E6924">
        <w:rPr>
          <w:sz w:val="28"/>
          <w:szCs w:val="28"/>
        </w:rPr>
        <w:t xml:space="preserve"> traders are provided with a powerful tool to help make well-informed technical trading decisions.</w:t>
      </w:r>
    </w:p>
    <w:sectPr w:rsidR="00FE252B" w:rsidRPr="000E6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2B"/>
    <w:rsid w:val="00017C16"/>
    <w:rsid w:val="000350C4"/>
    <w:rsid w:val="000B7441"/>
    <w:rsid w:val="000E6924"/>
    <w:rsid w:val="00127596"/>
    <w:rsid w:val="002E159D"/>
    <w:rsid w:val="00415F71"/>
    <w:rsid w:val="005778EF"/>
    <w:rsid w:val="005E28E5"/>
    <w:rsid w:val="007213E1"/>
    <w:rsid w:val="007C6091"/>
    <w:rsid w:val="00806E77"/>
    <w:rsid w:val="00893181"/>
    <w:rsid w:val="00A1566B"/>
    <w:rsid w:val="00AB5759"/>
    <w:rsid w:val="00B15227"/>
    <w:rsid w:val="00BE7B56"/>
    <w:rsid w:val="00DE58E6"/>
    <w:rsid w:val="00E03192"/>
    <w:rsid w:val="00E52C0E"/>
    <w:rsid w:val="00EE1DA3"/>
    <w:rsid w:val="00FC33DD"/>
    <w:rsid w:val="00FE252B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2B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01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C3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FF56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2B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01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C3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FF5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chart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multichart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lticharts.com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://www.multichart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Sinclair</dc:creator>
  <cp:lastModifiedBy>Matt Zimberg</cp:lastModifiedBy>
  <cp:revision>2</cp:revision>
  <dcterms:created xsi:type="dcterms:W3CDTF">2015-04-09T16:48:00Z</dcterms:created>
  <dcterms:modified xsi:type="dcterms:W3CDTF">2015-04-09T16:48:00Z</dcterms:modified>
</cp:coreProperties>
</file>